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DEB5C3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E28E3">
        <w:rPr>
          <w:rFonts w:ascii="Times New Roman" w:hAnsi="Times New Roman" w:cs="Times New Roman"/>
          <w:b/>
          <w:bCs/>
          <w:noProof/>
          <w:sz w:val="24"/>
          <w:szCs w:val="24"/>
        </w:rPr>
        <w:t>EU KA 203 PROMOVER O ESPÍRITO EMPRESARIAL ATRAVÉS DA CRIATIVIDADE NO PROJECTO EDUCATIVO</w:t>
      </w:r>
    </w:p>
    <w:p w14:paraId="2BEFE98F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E28E3">
        <w:rPr>
          <w:rFonts w:ascii="Times New Roman" w:hAnsi="Times New Roman" w:cs="Times New Roman"/>
          <w:b/>
          <w:bCs/>
          <w:noProof/>
          <w:sz w:val="24"/>
          <w:szCs w:val="24"/>
        </w:rPr>
        <w:t>Introdução</w:t>
      </w:r>
    </w:p>
    <w:p w14:paraId="2DDFE61F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 xml:space="preserve">O empreendedorismo, que é mais comummente definido como o processo de criação de valor para as empresas e a sociedade, é uma força dinâmica no mundo atual em rápida mutação. Desenvolve-se através de uma combinação única de recursos públicos e privados para capitalizar as oportunidades económicas, sociais e culturais. Uma das principais forças motrizes do espírito empresarial é a criatividade, uma capacidade inata de gerar e reconhecer ideias, alternativas e possibilidades inovadoras. </w:t>
      </w:r>
    </w:p>
    <w:p w14:paraId="018BFE92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E28E3">
        <w:rPr>
          <w:rFonts w:ascii="Times New Roman" w:hAnsi="Times New Roman" w:cs="Times New Roman"/>
          <w:b/>
          <w:bCs/>
          <w:noProof/>
          <w:sz w:val="24"/>
          <w:szCs w:val="24"/>
        </w:rPr>
        <w:t>Definição de empreendedorismo e criatividade</w:t>
      </w:r>
    </w:p>
    <w:p w14:paraId="72B1C934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>Este projeto começa por fornecer uma definição abrangente de empreendedorismo. Apresenta o empreendedorismo como a arte de criar valor, combinando habilmente recursos públicos e privados para aproveitar oportunidades num ambiente em mudança. A educação para o empreendedorismo, parte integrante deste projeto, visa dotar os estudantes dos conhecimentos, competências e motivação necessários para alcançar o sucesso empresarial em diferentes contextos.</w:t>
      </w:r>
    </w:p>
    <w:p w14:paraId="2980C981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>A criatividade, outro elemento fundamental deste projeto, é definida como a capacidade de gerar ou reconhecer ideias, alternativas ou possibilidades que podem ser aplicadas na resolução de problemas, na comunicação e no entretenimento. Sublinha-se que a criatividade é uma questão de talento e que deve ser cultivada e encorajada entre os estudantes.</w:t>
      </w:r>
    </w:p>
    <w:p w14:paraId="4CBF1162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E28E3">
        <w:rPr>
          <w:rFonts w:ascii="Times New Roman" w:hAnsi="Times New Roman" w:cs="Times New Roman"/>
          <w:b/>
          <w:bCs/>
          <w:noProof/>
          <w:sz w:val="24"/>
          <w:szCs w:val="24"/>
        </w:rPr>
        <w:t>O empreendedor como força motriz da criatividade</w:t>
      </w:r>
    </w:p>
    <w:p w14:paraId="590ACD4B" w14:textId="5FEF1409" w:rsid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>Este projeto também sublinha a relação simbiótica entre o espírito empresarial e a criatividade. Os empresários são retratados como catalisadores da criatividade e são comparados a investidores astutos. Tal como os empresários identificam oportunidades e assumem riscos calculados para concretizarem a sua visão, os pensadores criativos investem em ideias e possibilidades para enriquecerem as suas vidas e contribuírem para a sociedade.</w:t>
      </w:r>
    </w:p>
    <w:p w14:paraId="71E08DA9" w14:textId="77777777" w:rsidR="00071DFA" w:rsidRPr="005E28E3" w:rsidRDefault="00071DFA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E729748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E28E3">
        <w:rPr>
          <w:rFonts w:ascii="Times New Roman" w:hAnsi="Times New Roman" w:cs="Times New Roman"/>
          <w:b/>
          <w:bCs/>
          <w:noProof/>
          <w:sz w:val="24"/>
          <w:szCs w:val="24"/>
        </w:rPr>
        <w:t>Objectivos do projeto</w:t>
      </w:r>
    </w:p>
    <w:p w14:paraId="5D22613F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lastRenderedPageBreak/>
        <w:t>O principal objetivo deste ambicioso projeto é desenvolver competências empresariais através da incorporação da criatividade na educação. Este objetivo será alcançado através de uma abordagem multifacetada, incluindo o desenvolvimento de materiais educativos baseados nas TIC e de um currículo de empreendedorismo, a organização de programas de Propriedade Intelectual (PI) para estudantes e de programas de formação de professores para educadores, bem como a realização de iniciativas de investigação para medir as competências empreendedoras dos estudantes.</w:t>
      </w:r>
    </w:p>
    <w:p w14:paraId="0AF9A1A8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E28E3">
        <w:rPr>
          <w:rFonts w:ascii="Times New Roman" w:hAnsi="Times New Roman" w:cs="Times New Roman"/>
          <w:b/>
          <w:bCs/>
          <w:noProof/>
          <w:sz w:val="24"/>
          <w:szCs w:val="24"/>
        </w:rPr>
        <w:t>Grupo-alvo e actividades</w:t>
      </w:r>
    </w:p>
    <w:p w14:paraId="25BB4F7F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 xml:space="preserve">O projeto cria uma vasta rede, visando vários intervenientes na comunidade educativa e formativa. O público-alvo do projeto inclui estudantes universitários, professores, formadores de professores, directores de escolas, líderes educativos e académicos. Para atingir os seus objectivos, o projeto abrange várias actividades, tais como investigação académica, programas de PI, incluindo palestras, workshops e estudos de casos, desenvolvimento de currículos desde o ensino secundário até aos níveis de pós-graduação e criação de materiais TIC. </w:t>
      </w:r>
    </w:p>
    <w:p w14:paraId="1DE58E16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E28E3">
        <w:rPr>
          <w:rFonts w:ascii="Times New Roman" w:hAnsi="Times New Roman" w:cs="Times New Roman"/>
          <w:b/>
          <w:bCs/>
          <w:noProof/>
          <w:sz w:val="24"/>
          <w:szCs w:val="24"/>
        </w:rPr>
        <w:t>Divulgação e cooperação internacional</w:t>
      </w:r>
    </w:p>
    <w:p w14:paraId="1279DC06" w14:textId="311E61EA" w:rsidR="007A34E0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>O projeto atribui grande importância à partilha das suas conclusões e resultados. Neste contexto, o sítio Web do projeto foi criado na primeira fase e as actividades foram partilhadas através deste sítio (www.beyondthelimitsproject.sakarya.edu.tr). Por conseguinte, o impacto generalizado pretendido será alcançado através de organizações de comunicação social locais, sítios Web, canais de redes sociais e publicações académicas. Por outro lado, pretende-se alcançar uma dimensão internacional através da organização de conferências em Itália e em Portugal, promovendo a cooperação global e convidando oradores de vários países.</w:t>
      </w:r>
    </w:p>
    <w:p w14:paraId="759F2E70" w14:textId="0D71598E" w:rsid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782B48F8" wp14:editId="2F9B379F">
            <wp:extent cx="5705475" cy="284797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776" cy="28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231E2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 xml:space="preserve">Imagem 1: Uma moldura da 1ª Reunião do Projeto na Universidade de Granada </w:t>
      </w:r>
    </w:p>
    <w:p w14:paraId="10208997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 xml:space="preserve">Mais uma vez, a fim de aumentar o impacto nacional e internacional das suas actividades, cada parceiro aumenta os seus esforços de divulgação através da publicação de notícias nos sites das suas universidades e nos meios de comunicação locais. Além disso, as actividades do projeto serão divulgadas através de contas de redes sociais como o Twitter (https://twitter.com/beyondt29077346), Instagram e Facebook. </w:t>
      </w:r>
    </w:p>
    <w:p w14:paraId="4B4B1B34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E28E3">
        <w:rPr>
          <w:rFonts w:ascii="Times New Roman" w:hAnsi="Times New Roman" w:cs="Times New Roman"/>
          <w:b/>
          <w:bCs/>
          <w:noProof/>
          <w:sz w:val="24"/>
          <w:szCs w:val="24"/>
        </w:rPr>
        <w:t>Contribuição e impacto académico</w:t>
      </w:r>
    </w:p>
    <w:p w14:paraId="1B5F8052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 xml:space="preserve">Um aspeto admirável do projeto é o seu empenho em enriquecer a literatura académica. Pretende publicar artigos e estudos académicos que explorem a intersecção do empreendedorismo e da criatividade na educação. No âmbito deste objetivo, é essencial desenvolver a criatividade, o pensamento crítico, a capacidade de resolução de problemas e as competências de liderança, proporcionando contextos ricos e diversificados para os estudantes adquirirem, desenvolverem e aplicarem conhecimentos, compreensão e competências. </w:t>
      </w:r>
    </w:p>
    <w:p w14:paraId="39CA88E1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 xml:space="preserve">Por conseguinte, pode argumentar-se que, ao adotar uma abordagem inovadora para promover o empreendedorismo através da criatividade na educação, este projeto atingiu um limiar que pode prometer ser um fator de mudança no domínio da educação para o empreendedorismo. Ao visar um vasto leque de partes interessadas, ao contar com a colaboração internacional e ao realçar a importância da criatividade, este projeto pode contribuir para a adaptação às exigências de um mundo em rápida mutação. Por outro lado, o projeto não só contribui para a literatura </w:t>
      </w:r>
      <w:r w:rsidRPr="005E28E3">
        <w:rPr>
          <w:rFonts w:ascii="Times New Roman" w:hAnsi="Times New Roman" w:cs="Times New Roman"/>
          <w:noProof/>
          <w:sz w:val="24"/>
          <w:szCs w:val="24"/>
        </w:rPr>
        <w:lastRenderedPageBreak/>
        <w:t>académica, como também visa capacitar os indivíduos com as competências e a mentalidade necessárias para serem bem sucedidos como empresários e líderes num ambiente global em constante evolução. Por conseguinte, graças a este projeto, o futuro da educação para o empreendedorismo parece mais brilhante do que nunca.</w:t>
      </w:r>
    </w:p>
    <w:p w14:paraId="29F1F755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E28E3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Coordenação e parcerias </w:t>
      </w:r>
    </w:p>
    <w:p w14:paraId="42AA3851" w14:textId="5B84E63A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>A Universidade de Sakarya, uma instituição pública sem fins lucrativos com uma população estudantil significativa e uma forte ênfase na educação baseada nas TIC, destaca-se como uma instituição líder na Turquia e na Europa. Com uma rica história de organização de projectos sociais, conferências e seminários, a universidade tornou-se um centro de excelência académica e superioridade tecnológica. O empenho da Universidade em promover a criatividade e o empreendedorismo na educação é sublinhado pela sua Certificação de Qualidade ISO 2002, pelo seu papel pioneiro no desenvolvimento de processos de gestão da qualidade utilizando o modelo EFQM e pela receção do Prémio Continuidade na Excelência na Turquia. Outras instituições parceiras no âmbito deste projeto, que foi realizado de acordo com esta filosofia de qualidade, são as seguintes</w:t>
      </w:r>
      <w:r w:rsidR="00071DFA">
        <w:rPr>
          <w:rFonts w:ascii="Times New Roman" w:hAnsi="Times New Roman" w:cs="Times New Roman"/>
          <w:noProof/>
          <w:sz w:val="24"/>
          <w:szCs w:val="24"/>
        </w:rPr>
        <w:t xml:space="preserve">: </w:t>
      </w:r>
    </w:p>
    <w:p w14:paraId="173F5D5C" w14:textId="3924CF40" w:rsidR="005E28E3" w:rsidRPr="005E28E3" w:rsidRDefault="005E28E3" w:rsidP="005E28E3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>Universidade Agora de Oradea-Roménia</w:t>
      </w:r>
    </w:p>
    <w:p w14:paraId="74ED5568" w14:textId="7971A0EA" w:rsidR="005E28E3" w:rsidRPr="005E28E3" w:rsidRDefault="005E28E3" w:rsidP="005E28E3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 xml:space="preserve">Centro Studi Cultura Sviluppo Associazone-Itália </w:t>
      </w:r>
    </w:p>
    <w:p w14:paraId="4FF25F75" w14:textId="42BB17B6" w:rsidR="005E28E3" w:rsidRPr="005E28E3" w:rsidRDefault="005E28E3" w:rsidP="005E28E3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>Universidade De Montfort - Inglaterra</w:t>
      </w:r>
    </w:p>
    <w:p w14:paraId="2044DBE7" w14:textId="23358CAF" w:rsidR="005E28E3" w:rsidRPr="005E28E3" w:rsidRDefault="005E28E3" w:rsidP="005E28E3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>Universidade de Coimbra -Portugal</w:t>
      </w:r>
    </w:p>
    <w:p w14:paraId="0CB502F0" w14:textId="4E9C6772" w:rsidR="005E28E3" w:rsidRPr="005E28E3" w:rsidRDefault="005E28E3" w:rsidP="005E28E3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>Universidade de Granada - Espanha</w:t>
      </w:r>
    </w:p>
    <w:p w14:paraId="173E78BF" w14:textId="7D3E866C" w:rsidR="005E28E3" w:rsidRPr="005E28E3" w:rsidRDefault="005E28E3" w:rsidP="005E28E3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>Universidade de Liepaja - Letónia</w:t>
      </w:r>
    </w:p>
    <w:p w14:paraId="52AAFCC5" w14:textId="33657484" w:rsidR="005E28E3" w:rsidRDefault="005E28E3" w:rsidP="005E28E3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 xml:space="preserve">Universidade de Padova </w:t>
      </w:r>
      <w:r w:rsidR="00071DFA">
        <w:rPr>
          <w:rFonts w:ascii="Times New Roman" w:hAnsi="Times New Roman" w:cs="Times New Roman"/>
          <w:noProof/>
          <w:sz w:val="24"/>
          <w:szCs w:val="24"/>
        </w:rPr>
        <w:t>–</w:t>
      </w:r>
      <w:r w:rsidRPr="005E28E3">
        <w:rPr>
          <w:rFonts w:ascii="Times New Roman" w:hAnsi="Times New Roman" w:cs="Times New Roman"/>
          <w:noProof/>
          <w:sz w:val="24"/>
          <w:szCs w:val="24"/>
        </w:rPr>
        <w:t xml:space="preserve"> Itália</w:t>
      </w:r>
    </w:p>
    <w:p w14:paraId="09B03F07" w14:textId="5633C4F8" w:rsidR="00071DFA" w:rsidRPr="005E28E3" w:rsidRDefault="00071DFA" w:rsidP="005E28E3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B182FD8" wp14:editId="7069740D">
            <wp:extent cx="5394960" cy="2181225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9553" cy="219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4AFF30D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E28E3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 xml:space="preserve">Actividades científicas </w:t>
      </w:r>
    </w:p>
    <w:p w14:paraId="5085462C" w14:textId="263D5D87" w:rsid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>Programas de formação de professores, discursos e entrevistas em comunidades internacionais, conferências internacionais realizadas em 2022 e 2023 podem ser apresentados como eventos e actividades de destaque.</w:t>
      </w:r>
    </w:p>
    <w:p w14:paraId="1B39DC76" w14:textId="351890E6" w:rsid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4A11063" wp14:editId="01788092">
            <wp:extent cx="5753735" cy="431292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1A258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 xml:space="preserve">Figura 2. Quadro da 2ª Reunião do Projeto na Universidade de Coimbra </w:t>
      </w:r>
    </w:p>
    <w:p w14:paraId="63BDD68B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 xml:space="preserve">As actividades acima mencionadas foram realizadas em ambientes online, bem como em actividades presenciais. Além disso, foram envolvidas pessoas com experiência em várias áreas, desde a criação inicial do projeto até ao seu funcionamento efetivo. Quando avaliado neste contexto, o processo, no qual foram obtidos vários resultados e produtos, pode servir de precedente para projectos futuros e estudos semelhantes. Por conseguinte, pode afirmar-se que o projeto, que se dirige a um público vasto, alcançou o impacto generalizado pretendido no início. </w:t>
      </w:r>
    </w:p>
    <w:p w14:paraId="04DC84C4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Por outro lado, graças ao ICLEL 2022 (Universidade de Granada) e ao ICLEL 2023 (Universidade de Coimbra), que foram organizados como actividades de disseminação durante o processo do projeto, os investigadores que prepararem trabalhos sobre "Criatividade e Empreendedorismo na Educação" poderão participar gratuitamente e os seus trabalhos serão publicados como resumos de conferências e artigos de texto completo com números ISBN e poderão oferecer várias contribuições tanto para o seu próprio desenvolvimento académico como para a comunidade educativa.  </w:t>
      </w:r>
    </w:p>
    <w:p w14:paraId="1ADE06C2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E28E3">
        <w:rPr>
          <w:rFonts w:ascii="Times New Roman" w:hAnsi="Times New Roman" w:cs="Times New Roman"/>
          <w:b/>
          <w:bCs/>
          <w:noProof/>
          <w:sz w:val="24"/>
          <w:szCs w:val="24"/>
        </w:rPr>
        <w:t>Resultados e produtos</w:t>
      </w:r>
    </w:p>
    <w:p w14:paraId="0A7B8650" w14:textId="0386BAF9" w:rsid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 xml:space="preserve">1. livro de análise de necessidades: Pode afirmar-se que o resultado e o produto mais significativo do projeto é o livro "Análise das Necessidades". Este estudo, cujo foco principal são as competências de criatividade e empreendedorismo dos estudantes universitários e do ensino secundário que frequentam uma instituição de ensino superior nos países parceiros, tornou-se também um estudo no qual são medidos os obstáculos à criatividade e às competências de empreendedorismo no sistema educativo e apresentadas as soluções necessárias. No âmbito da Análise de Necessidades, com base na autorização obtida do Comité de Ética da Universidade de Sakarya, foram aplicadas a Escala ENRO_COM e a Escala de Nível de Competências de Criatividade em Todos os Domínios de Kaufman para determinar os níveis de empreendedorismo e criatividade dos estudantes em todos os países. Foi elaborado um Relatório Global sobre os resultados da investigação aplicada e os níveis de empreendedorismo e criatividade dos estudantes no mundo, tendo sido atribuído um número ISBN, preparado sob a liderança da equipa portuguesa da Universidade de Coimbra e publicado publicamente no link </w:t>
      </w:r>
      <w:hyperlink r:id="rId10" w:history="1">
        <w:r w:rsidRPr="002B6EF8">
          <w:rPr>
            <w:rStyle w:val="Kpr"/>
            <w:rFonts w:ascii="Times New Roman" w:hAnsi="Times New Roman" w:cs="Times New Roman"/>
            <w:noProof/>
            <w:sz w:val="24"/>
            <w:szCs w:val="24"/>
          </w:rPr>
          <w:t>http://www.beyondthelimitsproject.sakarya.edu.tr/need-analysis.html</w:t>
        </w:r>
      </w:hyperlink>
      <w:r w:rsidRPr="005E28E3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E719D33" w14:textId="09F774D0" w:rsidR="005E28E3" w:rsidRDefault="005E28E3" w:rsidP="005E28E3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63100CA2" wp14:editId="02EC1209">
            <wp:extent cx="3313430" cy="2636520"/>
            <wp:effectExtent l="0" t="0" r="127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D6E4B" w14:textId="41457D05" w:rsidR="005E28E3" w:rsidRPr="005E28E3" w:rsidRDefault="005E28E3" w:rsidP="005E28E3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>Figura 3. capa do livro do relatório de análise de necessidades relacionado com o empreendedorismo e a criatividade</w:t>
      </w:r>
    </w:p>
    <w:p w14:paraId="7548FAA5" w14:textId="26C5F7B8" w:rsid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>2. plataforma de ensino em linha e vídeos em linha: Por outro lado, outro produto valioso criado durante o processo é a Plataforma, os Materiais e os Filmes do Curso de Educação Online. O principal objetivo deste resultado é criar uma plataforma de TIC abrangente e de alta qualidade e materiais sobre criatividade e empreendedorismo a serem usados para melhorar as competências de criatividade e empreendedorismo de estudantes e jovens em diferentes níveis. Estes vídeos criados e gravados estão disponíveis ao público no sítio Web.</w:t>
      </w:r>
    </w:p>
    <w:p w14:paraId="13BD0226" w14:textId="6930BFB1" w:rsidR="005E28E3" w:rsidRDefault="005E28E3" w:rsidP="005E28E3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BDECAB1" wp14:editId="2D12D912">
            <wp:extent cx="5504815" cy="2971800"/>
            <wp:effectExtent l="0" t="0" r="63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536" t="37313" r="19897" b="19475"/>
                    <a:stretch/>
                  </pic:blipFill>
                  <pic:spPr bwMode="auto">
                    <a:xfrm>
                      <a:off x="0" y="0"/>
                      <a:ext cx="5534294" cy="298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89E80" w14:textId="58153956" w:rsidR="005E28E3" w:rsidRPr="005E28E3" w:rsidRDefault="005E28E3" w:rsidP="005E28E3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lastRenderedPageBreak/>
        <w:t>Figura 4. Vídeos relacionados com o empreendedorismo e a criatividade</w:t>
      </w:r>
    </w:p>
    <w:p w14:paraId="2DD5614E" w14:textId="73A3C4A7" w:rsidR="005E28E3" w:rsidRPr="005E28E3" w:rsidRDefault="007C6539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r:id="rId13" w:history="1">
        <w:r w:rsidR="005E28E3" w:rsidRPr="002B6EF8">
          <w:rPr>
            <w:rStyle w:val="Kpr"/>
            <w:rFonts w:ascii="Times New Roman" w:hAnsi="Times New Roman" w:cs="Times New Roman"/>
            <w:noProof/>
            <w:sz w:val="24"/>
            <w:szCs w:val="24"/>
          </w:rPr>
          <w:t>http://www.beyondthelimitsproject.sakarya.edu.tr/course-movies.html</w:t>
        </w:r>
      </w:hyperlink>
      <w:r w:rsidR="005E28E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E02A7C7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6EB7134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 xml:space="preserve">3. programas de formação intensiva (para professores e estudantes): Neste contexto, foram organizadas 2 formações para estudantes, primeiro na Universidade de Sakarya, em janeiro de 2021, e depois na Universidade de Liepaja, em 2022, e formações para professores na Universidade de Sakarya. Em cada programa de formação, 180 participantes, incluindo aproximadamente 60 participantes constituídos por estudantes e professores, participaram ativamente nas actividades em linha e presenciais e todos os participantes foram certificados com a assinatura do reitor. Pode ser acedido a partir das ligações abaixo: </w:t>
      </w:r>
    </w:p>
    <w:p w14:paraId="4162D818" w14:textId="50B0B73B" w:rsidR="005E28E3" w:rsidRPr="005E28E3" w:rsidRDefault="007C6539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r:id="rId14" w:history="1">
        <w:r w:rsidR="005E28E3" w:rsidRPr="002B6EF8">
          <w:rPr>
            <w:rStyle w:val="Kpr"/>
            <w:rFonts w:ascii="Times New Roman" w:hAnsi="Times New Roman" w:cs="Times New Roman"/>
            <w:noProof/>
            <w:sz w:val="24"/>
            <w:szCs w:val="24"/>
          </w:rPr>
          <w:t>http://www.beyondthelimitsproject.sakarya.edu.tr/ip-programmes.html</w:t>
        </w:r>
      </w:hyperlink>
      <w:r w:rsidR="005E28E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E36E9CE" w14:textId="05DC248D" w:rsidR="005E28E3" w:rsidRDefault="007C6539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r:id="rId15" w:history="1">
        <w:r w:rsidR="005E28E3" w:rsidRPr="002B6EF8">
          <w:rPr>
            <w:rStyle w:val="Kpr"/>
            <w:rFonts w:ascii="Times New Roman" w:hAnsi="Times New Roman" w:cs="Times New Roman"/>
            <w:noProof/>
            <w:sz w:val="24"/>
            <w:szCs w:val="24"/>
          </w:rPr>
          <w:t>http://www.beyondthelimitsproject.sakarya.edu.tr/teacher-training-program.html</w:t>
        </w:r>
      </w:hyperlink>
    </w:p>
    <w:p w14:paraId="7FFC9DF5" w14:textId="1C614F1A" w:rsid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D470A7B" wp14:editId="0CDBA352">
            <wp:extent cx="5719445" cy="3269615"/>
            <wp:effectExtent l="0" t="0" r="0" b="698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8E3">
        <w:t xml:space="preserve"> </w:t>
      </w:r>
      <w:r w:rsidRPr="005E28E3">
        <w:rPr>
          <w:rFonts w:ascii="Times New Roman" w:hAnsi="Times New Roman" w:cs="Times New Roman"/>
          <w:noProof/>
          <w:sz w:val="24"/>
          <w:szCs w:val="24"/>
        </w:rPr>
        <w:t>Imagem 5: Uma fotografia de grupo com o grupo de formação de professores</w:t>
      </w:r>
      <w:r w:rsidRPr="005A1AA3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1186CAC5" wp14:editId="7B1DA2C2">
            <wp:extent cx="5734050" cy="4191000"/>
            <wp:effectExtent l="0" t="0" r="0" b="0"/>
            <wp:docPr id="10" name="Resim 10" descr="C:\Users\Administrator\Desktop\BEYOND THE LIMITS\IP PROGRAMLARI\LIEPAJA IP PROGRAM\Some PICTURES\toplu kapanış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BEYOND THE LIMITS\IP PROGRAMLARI\LIEPAJA IP PROGRAM\Some PICTURES\toplu kapanış 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8E3">
        <w:t xml:space="preserve"> </w:t>
      </w:r>
      <w:r w:rsidRPr="005E28E3">
        <w:rPr>
          <w:rFonts w:ascii="Times New Roman" w:hAnsi="Times New Roman" w:cs="Times New Roman"/>
          <w:noProof/>
          <w:sz w:val="24"/>
          <w:szCs w:val="24"/>
        </w:rPr>
        <w:t>Imagem 6: Em frente à Universidade de Liepaja com os estudantes que participam no Programa de Formação de Estudantes</w:t>
      </w:r>
    </w:p>
    <w:p w14:paraId="14A5A5E7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 xml:space="preserve">4. desenvolvimento curricular: no âmbito do projeto, sob a liderança dos parceiros italianos, foram preparados 2 programas de 14 semanas relacionados com o empreendedorismo, que podem ser aplicados tanto ao nível do ensino secundário como ao nível universitário, com base no Quadro de Qualificações da UE, e o programa preparado foi publicado no menu público do Desenvolvimento Curricular no link http://www.beyondthelimitsproject.sakarya.edu.tr/curriculum.html, através do número ISBN. </w:t>
      </w:r>
    </w:p>
    <w:p w14:paraId="5C245C7B" w14:textId="2EE0B96C" w:rsid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 xml:space="preserve">5. livros de conferências: Como actividades de disseminação do projeto, as conferências ICLEL 22 foram realizadas de 5 a 7 de julho de 2022 após a I. reunião do projeto na Universidade de Granada e as conferências ICLEL 23 foram realizadas de 6 a 8 de julho de 2023 após a II. reunião do projeto na Universidade de Coimbra, onde oradores convidados e participantes das actividades de disseminação de quase 30 países diferentes fizeram apresentações presenciais, posters e online. Cerca de 165 pessoas participaram no ICLEL 22 e 220 pessoas participaram no ICLEL 23, presencialmente e em linha. Os resumos e o texto integral das comunicações dos </w:t>
      </w:r>
      <w:r w:rsidRPr="005E28E3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participantes foram publicados em livros da conferência com números ISBN. Estes resultados estão disponíveis em http://www.beyondthelimitsproject.sakarya.edu.tr/conference-book-2022.html e </w:t>
      </w:r>
      <w:hyperlink r:id="rId18" w:history="1">
        <w:r w:rsidRPr="002B6EF8">
          <w:rPr>
            <w:rStyle w:val="Kpr"/>
            <w:rFonts w:ascii="Times New Roman" w:hAnsi="Times New Roman" w:cs="Times New Roman"/>
            <w:noProof/>
            <w:sz w:val="24"/>
            <w:szCs w:val="24"/>
          </w:rPr>
          <w:t>http://www.beyondthelimitsproject.sakarya.edu.tr/conference-book-2023.html</w:t>
        </w:r>
      </w:hyperlink>
      <w:r w:rsidRPr="005E28E3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D045424" w14:textId="03EA475A" w:rsid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C5D8AD0" wp14:editId="0BA3242F">
            <wp:extent cx="5753100" cy="3076575"/>
            <wp:effectExtent l="0" t="0" r="0" b="9525"/>
            <wp:docPr id="11" name="Resim 11" descr="C:\Users\Administrator\AppData\Local\Microsoft\Windows\INetCache\Content.Word\0a751b97-5897-4155-8df4-23b801dc7c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AppData\Local\Microsoft\Windows\INetCache\Content.Word\0a751b97-5897-4155-8df4-23b801dc7c7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8E3">
        <w:t xml:space="preserve"> </w:t>
      </w:r>
      <w:r w:rsidRPr="005E28E3">
        <w:rPr>
          <w:rFonts w:ascii="Times New Roman" w:hAnsi="Times New Roman" w:cs="Times New Roman"/>
          <w:noProof/>
          <w:sz w:val="24"/>
          <w:szCs w:val="24"/>
        </w:rPr>
        <w:t>Imagem 7. Universidade de Granada ICLEL 22 Atividade de Disseminação Oradores Convidados (Prof. Dr. David RAE e Prof. Dr. Carlos Sousa REIS).</w:t>
      </w:r>
    </w:p>
    <w:p w14:paraId="2A42D566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F9EFED8" wp14:editId="1D342561">
            <wp:extent cx="5760720" cy="3406140"/>
            <wp:effectExtent l="0" t="0" r="0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8E3">
        <w:t xml:space="preserve"> </w:t>
      </w:r>
      <w:r w:rsidRPr="005E28E3">
        <w:rPr>
          <w:rFonts w:ascii="Times New Roman" w:hAnsi="Times New Roman" w:cs="Times New Roman"/>
          <w:noProof/>
          <w:sz w:val="24"/>
          <w:szCs w:val="24"/>
        </w:rPr>
        <w:t xml:space="preserve">Figura 8: Orador principal do ICLEL 23 Prof. Dr. Prof. Dana Redford / EUA Momento do </w:t>
      </w:r>
      <w:r w:rsidRPr="005E28E3">
        <w:rPr>
          <w:rFonts w:ascii="Times New Roman" w:hAnsi="Times New Roman" w:cs="Times New Roman"/>
          <w:noProof/>
          <w:sz w:val="24"/>
          <w:szCs w:val="24"/>
        </w:rPr>
        <w:lastRenderedPageBreak/>
        <w:t>discurso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A60CAD2" wp14:editId="099416EF">
            <wp:extent cx="5760720" cy="3603223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3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28E3">
        <w:t xml:space="preserve"> </w:t>
      </w:r>
      <w:r w:rsidRPr="005E28E3">
        <w:rPr>
          <w:rFonts w:ascii="Times New Roman" w:hAnsi="Times New Roman" w:cs="Times New Roman"/>
          <w:noProof/>
          <w:sz w:val="24"/>
          <w:szCs w:val="24"/>
        </w:rPr>
        <w:t>Reitor da Universidade de Coimbra, Reitor e Coordenadores na Cerimónia de Abertura do ICLEL 23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B53CC2F" wp14:editId="5B19FE6D">
            <wp:extent cx="5760720" cy="3875821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5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28E3">
        <w:t xml:space="preserve"> </w:t>
      </w:r>
      <w:r w:rsidRPr="005E28E3">
        <w:rPr>
          <w:rFonts w:ascii="Times New Roman" w:hAnsi="Times New Roman" w:cs="Times New Roman"/>
          <w:noProof/>
          <w:sz w:val="24"/>
          <w:szCs w:val="24"/>
        </w:rPr>
        <w:lastRenderedPageBreak/>
        <w:t>Figura 10: Um quadro dos participantes do ICLEL 22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F883AB4" wp14:editId="458CE590">
            <wp:extent cx="5753735" cy="3252470"/>
            <wp:effectExtent l="0" t="0" r="0" b="508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8E3">
        <w:t xml:space="preserve"> </w:t>
      </w:r>
      <w:r w:rsidRPr="005E28E3">
        <w:rPr>
          <w:rFonts w:ascii="Times New Roman" w:hAnsi="Times New Roman" w:cs="Times New Roman"/>
          <w:noProof/>
          <w:sz w:val="24"/>
          <w:szCs w:val="24"/>
        </w:rPr>
        <w:t>Imagem 11: Alguns dos participantes do ICLEL 22 numa visita cultural a Al-Hambra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1CCFBBE" wp14:editId="01187A9A">
            <wp:extent cx="5759450" cy="292163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8E3">
        <w:t xml:space="preserve"> </w:t>
      </w:r>
      <w:r w:rsidRPr="005E28E3">
        <w:rPr>
          <w:rFonts w:ascii="Times New Roman" w:hAnsi="Times New Roman" w:cs="Times New Roman"/>
          <w:noProof/>
          <w:sz w:val="24"/>
          <w:szCs w:val="24"/>
        </w:rPr>
        <w:t>Imagem 12. Um quadro dos participantes no ICLEL 23 na Universidade de Coimbra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2E5D16D8" wp14:editId="38D513B9">
            <wp:extent cx="5759450" cy="343217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8E3">
        <w:rPr>
          <w:rFonts w:ascii="Times New Roman" w:hAnsi="Times New Roman" w:cs="Times New Roman"/>
          <w:noProof/>
          <w:sz w:val="24"/>
          <w:szCs w:val="24"/>
        </w:rPr>
        <w:t xml:space="preserve">Figura 13: Um quadro de apresentações virtuais </w:t>
      </w:r>
    </w:p>
    <w:p w14:paraId="4DBFFDCB" w14:textId="0360F6B9" w:rsid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>Além disso, os parceiros do projeto trabalharam e continuam a trabalhar para a divulgação das actividades do projeto, participando em muitos meios de comunicação e congressos diferentes e tentando aumentar o nível de sensibilização para o projeto.</w:t>
      </w:r>
    </w:p>
    <w:p w14:paraId="39E5DAB8" w14:textId="6522467B" w:rsid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C35BB78" wp14:editId="7F0E5D67">
            <wp:extent cx="5760720" cy="259588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CAFBE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 xml:space="preserve">Figura 14. Um quadro das actividades de divulgação do projeto BLimits </w:t>
      </w:r>
    </w:p>
    <w:p w14:paraId="2F6EE1AB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E28E3">
        <w:rPr>
          <w:rFonts w:ascii="Times New Roman" w:hAnsi="Times New Roman" w:cs="Times New Roman"/>
          <w:b/>
          <w:bCs/>
          <w:noProof/>
          <w:sz w:val="24"/>
          <w:szCs w:val="24"/>
        </w:rPr>
        <w:t>CONCLUSÃO</w:t>
      </w:r>
    </w:p>
    <w:p w14:paraId="4BD42833" w14:textId="77777777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Este projeto EU KA203, que visa aumentar as competências empreendedoras através da criatividade na educação, é uma equipa que alcançou com sucesso os seus objectivos e conseguiu realizar os seus resultados com a cooperação e apoio de todos os parceiros, apesar dos obstáculos criados pela COVID 19. Pode afirmar-se que, ao partilhar todas as suas actividades em acesso aberto no sítio Web www.beyondthelimitsproject.sakarya.edu.tr, que foi preparado na primeira fase, forneceu recursos não só a estudantes e professores, mas também a pessoas e investigadores de todo o mundo interessados neste assunto e concretizou o seu papel de desenvolvimento da visão da forma mais eficaz. Além disso, no âmbito deste projeto, pode afirmar-se que as competências de empreendedorismo dos estudantes a nível nacional e internacional foram analisadas e que foi fornecido um recurso importante sobre o que deve ser feito na educação para continuar a desenvolver e contribuir para o desenvolvimento de uma nova perspetiva. </w:t>
      </w:r>
    </w:p>
    <w:p w14:paraId="6EF6C581" w14:textId="25170685" w:rsidR="005E28E3" w:rsidRPr="005E28E3" w:rsidRDefault="005E28E3" w:rsidP="005E28E3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28E3">
        <w:rPr>
          <w:rFonts w:ascii="Times New Roman" w:hAnsi="Times New Roman" w:cs="Times New Roman"/>
          <w:noProof/>
          <w:sz w:val="24"/>
          <w:szCs w:val="24"/>
        </w:rPr>
        <w:t>Neste contexto, o coordenador do projeto, Prof. Dr. Osman TİTREK, membro do corpo docente da Faculdade de Educação da Universidade de Sakarya, gostaria de expressar a sua gratidão à Agência Nacional Turca, que forneceu apoio financeiro ao projeto, a todos os reitores, decanos, membros do corpo docente e investigadores da universidade que trabalharam como parceiros do projeto e fizeram esforços.</w:t>
      </w:r>
    </w:p>
    <w:sectPr w:rsidR="005E28E3" w:rsidRPr="005E28E3">
      <w:head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F4FB9A" w14:textId="77777777" w:rsidR="007C6539" w:rsidRDefault="007C6539" w:rsidP="00233E1C">
      <w:pPr>
        <w:spacing w:after="0" w:line="240" w:lineRule="auto"/>
      </w:pPr>
      <w:r>
        <w:separator/>
      </w:r>
    </w:p>
  </w:endnote>
  <w:endnote w:type="continuationSeparator" w:id="0">
    <w:p w14:paraId="6ED44841" w14:textId="77777777" w:rsidR="007C6539" w:rsidRDefault="007C6539" w:rsidP="00233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58E81C" w14:textId="77777777" w:rsidR="007C6539" w:rsidRDefault="007C6539" w:rsidP="00233E1C">
      <w:pPr>
        <w:spacing w:after="0" w:line="240" w:lineRule="auto"/>
      </w:pPr>
      <w:r>
        <w:separator/>
      </w:r>
    </w:p>
  </w:footnote>
  <w:footnote w:type="continuationSeparator" w:id="0">
    <w:p w14:paraId="4D03C37A" w14:textId="77777777" w:rsidR="007C6539" w:rsidRDefault="007C6539" w:rsidP="00233E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2990B" w14:textId="4D8C2BE2" w:rsidR="00233E1C" w:rsidRDefault="00233E1C" w:rsidP="00233E1C">
    <w:pPr>
      <w:pStyle w:val="stBilgi"/>
      <w:jc w:val="center"/>
    </w:pPr>
    <w:r w:rsidRPr="00233E1C">
      <w:rPr>
        <w:rFonts w:ascii="Times New Roman" w:hAnsi="Times New Roman" w:cs="Times New Roman"/>
        <w:noProof/>
        <w:sz w:val="24"/>
        <w:szCs w:val="24"/>
        <w:lang w:eastAsia="tr-TR"/>
      </w:rPr>
      <w:drawing>
        <wp:inline distT="0" distB="0" distL="0" distR="0" wp14:anchorId="19320233" wp14:editId="1322BAB7">
          <wp:extent cx="2719705" cy="952500"/>
          <wp:effectExtent l="0" t="0" r="4445" b="0"/>
          <wp:docPr id="15" name="Resim 15" descr="C:\Users\Administrator\Desktop\BEYOND THE LIMITS\LOGO &amp; BROŞÜR\Proje Klasik Log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BEYOND THE LIMITS\LOGO &amp; BROŞÜR\Proje Klasik Logo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0893" cy="9564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2E427F"/>
    <w:multiLevelType w:val="hybridMultilevel"/>
    <w:tmpl w:val="166A3BA2"/>
    <w:lvl w:ilvl="0" w:tplc="7D5C92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6514A5"/>
    <w:multiLevelType w:val="hybridMultilevel"/>
    <w:tmpl w:val="818429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4D9"/>
    <w:rsid w:val="00071DFA"/>
    <w:rsid w:val="00233E1C"/>
    <w:rsid w:val="005E28E3"/>
    <w:rsid w:val="007A34E0"/>
    <w:rsid w:val="007C6539"/>
    <w:rsid w:val="00EE610F"/>
    <w:rsid w:val="00F91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90917"/>
  <w15:chartTrackingRefBased/>
  <w15:docId w15:val="{1076AD40-E768-4060-B6F3-6C2EF0676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E28E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5E28E3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5E28E3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233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33E1C"/>
  </w:style>
  <w:style w:type="paragraph" w:styleId="AltBilgi">
    <w:name w:val="footer"/>
    <w:basedOn w:val="Normal"/>
    <w:link w:val="AltBilgiChar"/>
    <w:uiPriority w:val="99"/>
    <w:unhideWhenUsed/>
    <w:rsid w:val="00233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33E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beyondthelimitsproject.sakarya.edu.tr/course-movies.html" TargetMode="External"/><Relationship Id="rId18" Type="http://schemas.openxmlformats.org/officeDocument/2006/relationships/hyperlink" Target="http://www.beyondthelimitsproject.sakarya.edu.tr/conference-book-2023.html" TargetMode="Externa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hyperlink" Target="http://www.beyondthelimitsproject.sakarya.edu.tr/teacher-training-program.html" TargetMode="External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://www.beyondthelimitsproject.sakarya.edu.tr/need-analysis.html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beyondthelimitsproject.sakarya.edu.tr/ip-programmes.html" TargetMode="External"/><Relationship Id="rId22" Type="http://schemas.openxmlformats.org/officeDocument/2006/relationships/image" Target="media/image11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2293</Words>
  <Characters>13072</Characters>
  <Application>Microsoft Office Word</Application>
  <DocSecurity>0</DocSecurity>
  <Lines>108</Lines>
  <Paragraphs>30</Paragraphs>
  <ScaleCrop>false</ScaleCrop>
  <Company/>
  <LinksUpToDate>false</LinksUpToDate>
  <CharactersWithSpaces>15335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Sau</cp:lastModifiedBy>
  <cp:revision>4</cp:revision>
  <dcterms:created xsi:type="dcterms:W3CDTF">2023-09-22T11:06:00Z</dcterms:created>
  <dcterms:modified xsi:type="dcterms:W3CDTF">2023-09-22T12:24:00Z</dcterms:modified>
</cp:coreProperties>
</file>